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w:t>
      </w:r>
      <w:r>
        <w:rPr>
          <w:rFonts w:hint="eastAsia" w:ascii="宋体" w:hAnsi="宋体" w:cs="宋体"/>
          <w:b/>
          <w:bCs/>
          <w:spacing w:val="40"/>
          <w:sz w:val="32"/>
          <w:szCs w:val="32"/>
          <w:lang w:val="en-US" w:eastAsia="zh-CN"/>
        </w:rPr>
        <w:t>20</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质量流量计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rPr>
        <w:t>一、招标文件编号：GFGS-1</w:t>
      </w:r>
      <w:r>
        <w:rPr>
          <w:rFonts w:hint="eastAsia" w:ascii="宋体" w:hAnsi="宋体" w:cs="宋体"/>
          <w:sz w:val="28"/>
          <w:szCs w:val="28"/>
          <w:lang w:val="en-US" w:eastAsia="zh-CN"/>
        </w:rPr>
        <w:t>20</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质量流量计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质量流量计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质量流量计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质量流量计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质量流量计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87B3F1B"/>
    <w:rsid w:val="4B097399"/>
    <w:rsid w:val="4E894795"/>
    <w:rsid w:val="4EE12936"/>
    <w:rsid w:val="4EF91335"/>
    <w:rsid w:val="5DDA62D6"/>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2022-11-22T03:10:33Z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